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39"/>
        <w:gridCol w:w="1617"/>
        <w:gridCol w:w="1218"/>
        <w:gridCol w:w="1057"/>
        <w:gridCol w:w="5051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FD6AA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525E38" w:rsidRPr="000E41C8" w:rsidRDefault="00FD6AA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Goulart</w:t>
            </w:r>
          </w:p>
        </w:tc>
      </w:tr>
      <w:tr w:rsidR="007E16AB" w:rsidRPr="00086A5A" w:rsidTr="007E16AB">
        <w:tc>
          <w:tcPr>
            <w:tcW w:w="1794" w:type="dxa"/>
          </w:tcPr>
          <w:p w:rsidR="007E16AB" w:rsidRPr="000E41C8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</w:p>
        </w:tc>
        <w:tc>
          <w:tcPr>
            <w:tcW w:w="1153" w:type="dxa"/>
          </w:tcPr>
          <w:p w:rsidR="007E16AB" w:rsidRPr="000E41C8" w:rsidRDefault="00FD6AA5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II</w:t>
            </w:r>
          </w:p>
        </w:tc>
        <w:tc>
          <w:tcPr>
            <w:tcW w:w="1256" w:type="dxa"/>
          </w:tcPr>
          <w:p w:rsidR="007E16AB" w:rsidRPr="000E41C8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</w:p>
        </w:tc>
        <w:tc>
          <w:tcPr>
            <w:tcW w:w="1104" w:type="dxa"/>
          </w:tcPr>
          <w:p w:rsidR="007E16AB" w:rsidRPr="00086A5A" w:rsidRDefault="00FD6AA5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5375" w:type="dxa"/>
          </w:tcPr>
          <w:p w:rsidR="007E16AB" w:rsidRPr="00086A5A" w:rsidRDefault="00DD6C97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FD6AA5" w:rsidRDefault="00FD6AA5" w:rsidP="00FD6AA5">
            <w:pPr>
              <w:spacing w:line="259" w:lineRule="auto"/>
            </w:pPr>
          </w:p>
          <w:p w:rsidR="00DD6C97" w:rsidRDefault="00DD6C97" w:rsidP="00FD6AA5">
            <w:pPr>
              <w:spacing w:line="259" w:lineRule="auto"/>
            </w:pP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Potenciação;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Radiciação;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Equações do 2ºgrau;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Funções:     </w:t>
            </w:r>
            <w:proofErr w:type="gramStart"/>
            <w:r w:rsidRPr="00DD6C97">
              <w:rPr>
                <w:sz w:val="24"/>
                <w:szCs w:val="24"/>
              </w:rPr>
              <w:t>-Conceito</w:t>
            </w:r>
            <w:proofErr w:type="gramEnd"/>
            <w:r w:rsidRPr="00DD6C97">
              <w:rPr>
                <w:sz w:val="24"/>
                <w:szCs w:val="24"/>
              </w:rPr>
              <w:t>;</w:t>
            </w:r>
          </w:p>
          <w:p w:rsidR="00FD6AA5" w:rsidRPr="00DD6C97" w:rsidRDefault="00FD6AA5" w:rsidP="00FD6AA5">
            <w:pPr>
              <w:pStyle w:val="PargrafodaLista"/>
              <w:ind w:left="765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                     - Função afim ou do 1º grau;</w:t>
            </w:r>
          </w:p>
          <w:p w:rsidR="00FD6AA5" w:rsidRPr="00DD6C97" w:rsidRDefault="00FD6AA5" w:rsidP="00FD6AA5">
            <w:pPr>
              <w:pStyle w:val="PargrafodaLista"/>
              <w:ind w:left="765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                     - Função quadrática ou do 2º grau;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Semelhança:</w:t>
            </w:r>
            <w:proofErr w:type="gramStart"/>
            <w:r w:rsidRPr="00DD6C97">
              <w:rPr>
                <w:sz w:val="24"/>
                <w:szCs w:val="24"/>
              </w:rPr>
              <w:t xml:space="preserve">  </w:t>
            </w:r>
            <w:proofErr w:type="gramEnd"/>
            <w:r w:rsidRPr="00DD6C97">
              <w:rPr>
                <w:sz w:val="24"/>
                <w:szCs w:val="24"/>
              </w:rPr>
              <w:t>-Segmentos proporcionais;</w:t>
            </w:r>
          </w:p>
          <w:p w:rsidR="00FD6AA5" w:rsidRPr="00DD6C97" w:rsidRDefault="00FD6AA5" w:rsidP="00FD6AA5">
            <w:pPr>
              <w:pStyle w:val="PargrafodaLista"/>
              <w:ind w:left="765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                         -Retas paralelas;</w:t>
            </w:r>
          </w:p>
          <w:p w:rsidR="00FD6AA5" w:rsidRPr="00DD6C97" w:rsidRDefault="00FD6AA5" w:rsidP="00FD6AA5">
            <w:pPr>
              <w:pStyle w:val="PargrafodaLista"/>
              <w:ind w:left="765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                         - Semelhança entre figuras;</w:t>
            </w:r>
          </w:p>
          <w:p w:rsidR="00FD6AA5" w:rsidRPr="00DD6C97" w:rsidRDefault="00FD6AA5" w:rsidP="00FD6AA5">
            <w:pPr>
              <w:pStyle w:val="PargrafodaLista"/>
              <w:ind w:left="765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                         - Semelhança entre triângulos;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Introdução à trigonometria:</w:t>
            </w:r>
            <w:proofErr w:type="gramStart"/>
            <w:r w:rsidRPr="00DD6C97">
              <w:rPr>
                <w:sz w:val="24"/>
                <w:szCs w:val="24"/>
              </w:rPr>
              <w:t xml:space="preserve">  </w:t>
            </w:r>
            <w:proofErr w:type="gramEnd"/>
            <w:r w:rsidRPr="00DD6C97">
              <w:rPr>
                <w:sz w:val="24"/>
                <w:szCs w:val="24"/>
              </w:rPr>
              <w:t>-Relações métricas no triangulo retângulo;</w:t>
            </w:r>
            <w:bookmarkStart w:id="0" w:name="_GoBack"/>
            <w:bookmarkEnd w:id="0"/>
          </w:p>
          <w:p w:rsidR="00FD6AA5" w:rsidRPr="00DD6C97" w:rsidRDefault="00FD6AA5" w:rsidP="00FD6AA5">
            <w:pPr>
              <w:pStyle w:val="PargrafodaLista"/>
              <w:ind w:left="765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 xml:space="preserve">                                                    - Razoes trigonométricas no triangulo retângulo.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Circunferências;</w:t>
            </w:r>
          </w:p>
          <w:p w:rsidR="00FD6AA5" w:rsidRPr="00DD6C97" w:rsidRDefault="00FD6AA5" w:rsidP="00FD6AA5">
            <w:pPr>
              <w:pStyle w:val="PargrafodaLista"/>
              <w:numPr>
                <w:ilvl w:val="0"/>
                <w:numId w:val="6"/>
              </w:numPr>
              <w:spacing w:line="259" w:lineRule="auto"/>
              <w:rPr>
                <w:sz w:val="24"/>
                <w:szCs w:val="24"/>
              </w:rPr>
            </w:pPr>
            <w:r w:rsidRPr="00DD6C97">
              <w:rPr>
                <w:sz w:val="24"/>
                <w:szCs w:val="24"/>
              </w:rPr>
              <w:t>Área das figuras planas;</w:t>
            </w:r>
          </w:p>
          <w:p w:rsidR="00CC6394" w:rsidRPr="00DD6C97" w:rsidRDefault="00CC6394" w:rsidP="00FD6AA5">
            <w:pPr>
              <w:pStyle w:val="PargrafodaLista"/>
              <w:rPr>
                <w:sz w:val="24"/>
                <w:szCs w:val="24"/>
              </w:rPr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DD6C97" w:rsidRDefault="00DD6C97" w:rsidP="00FD6AA5">
            <w:pPr>
              <w:pStyle w:val="PargrafodaLista"/>
            </w:pPr>
          </w:p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97C4B"/>
    <w:multiLevelType w:val="hybridMultilevel"/>
    <w:tmpl w:val="59626AF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728B9"/>
    <w:rsid w:val="00086A5A"/>
    <w:rsid w:val="000E41C8"/>
    <w:rsid w:val="00124ADF"/>
    <w:rsid w:val="001718E1"/>
    <w:rsid w:val="00271E6E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06B33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6394"/>
    <w:rsid w:val="00D34CC9"/>
    <w:rsid w:val="00D41ED8"/>
    <w:rsid w:val="00DD6C97"/>
    <w:rsid w:val="00E737E2"/>
    <w:rsid w:val="00F035FF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25F97FF7-CFF7-454B-9820-C9737699B296}"/>
</file>

<file path=customXml/itemProps2.xml><?xml version="1.0" encoding="utf-8"?>
<ds:datastoreItem xmlns:ds="http://schemas.openxmlformats.org/officeDocument/2006/customXml" ds:itemID="{D918D4AF-3D2F-4CC2-B3B0-BB74B8582D99}"/>
</file>

<file path=customXml/itemProps3.xml><?xml version="1.0" encoding="utf-8"?>
<ds:datastoreItem xmlns:ds="http://schemas.openxmlformats.org/officeDocument/2006/customXml" ds:itemID="{DFE071DA-6FE0-4E3E-B372-18A9860C7E53}"/>
</file>

<file path=customXml/itemProps4.xml><?xml version="1.0" encoding="utf-8"?>
<ds:datastoreItem xmlns:ds="http://schemas.openxmlformats.org/officeDocument/2006/customXml" ds:itemID="{B4BC7C5A-174B-4649-820A-30F806C2C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Um usuário do Microsoft Office satisfeito</cp:lastModifiedBy>
  <cp:revision>2</cp:revision>
  <cp:lastPrinted>2015-02-02T13:07:00Z</cp:lastPrinted>
  <dcterms:created xsi:type="dcterms:W3CDTF">2018-11-27T22:58:00Z</dcterms:created>
  <dcterms:modified xsi:type="dcterms:W3CDTF">2018-11-27T22:58:00Z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